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261" w:rsidRDefault="00E76734" w:rsidP="00C22C34">
      <w:pPr>
        <w:rPr>
          <w:i/>
        </w:rPr>
      </w:pPr>
      <w:r w:rsidRPr="00E76734">
        <w:rPr>
          <w:i/>
        </w:rPr>
        <w:t>Directions:  Use the information in the downloaded PDF</w:t>
      </w:r>
      <w:r w:rsidR="00BC32BE">
        <w:rPr>
          <w:i/>
        </w:rPr>
        <w:t xml:space="preserve">s </w:t>
      </w:r>
      <w:r w:rsidR="00BC32BE" w:rsidRPr="00BC32BE">
        <w:rPr>
          <w:b/>
        </w:rPr>
        <w:t>Watergate Background</w:t>
      </w:r>
      <w:r w:rsidR="00BC32BE">
        <w:rPr>
          <w:i/>
        </w:rPr>
        <w:t xml:space="preserve"> </w:t>
      </w:r>
      <w:proofErr w:type="gramStart"/>
      <w:r w:rsidR="00BC32BE">
        <w:rPr>
          <w:i/>
        </w:rPr>
        <w:t xml:space="preserve">and </w:t>
      </w:r>
      <w:r w:rsidRPr="00E76734">
        <w:rPr>
          <w:i/>
        </w:rPr>
        <w:t xml:space="preserve"> </w:t>
      </w:r>
      <w:r w:rsidRPr="00E76734">
        <w:rPr>
          <w:b/>
        </w:rPr>
        <w:t>Watergate</w:t>
      </w:r>
      <w:proofErr w:type="gramEnd"/>
      <w:r w:rsidRPr="00E76734">
        <w:rPr>
          <w:b/>
        </w:rPr>
        <w:t xml:space="preserve"> Cast of Characters</w:t>
      </w:r>
      <w:r w:rsidR="00BC32BE">
        <w:rPr>
          <w:b/>
        </w:rPr>
        <w:t>.</w:t>
      </w:r>
      <w:r w:rsidRPr="00E76734">
        <w:rPr>
          <w:i/>
        </w:rPr>
        <w:t xml:space="preserve"> </w:t>
      </w:r>
      <w:r w:rsidR="001C7CF5">
        <w:rPr>
          <w:i/>
        </w:rPr>
        <w:t xml:space="preserve">Type your definitions in the </w:t>
      </w:r>
      <w:r w:rsidR="00BC32BE">
        <w:rPr>
          <w:i/>
        </w:rPr>
        <w:t xml:space="preserve">Background section.  Then </w:t>
      </w:r>
      <w:r w:rsidRPr="00E76734">
        <w:rPr>
          <w:i/>
        </w:rPr>
        <w:t xml:space="preserve">identify the people involved in the scandal.  </w:t>
      </w:r>
      <w:r w:rsidR="003C135E">
        <w:rPr>
          <w:i/>
        </w:rPr>
        <w:t>Type</w:t>
      </w:r>
      <w:r w:rsidRPr="00E76734">
        <w:rPr>
          <w:i/>
        </w:rPr>
        <w:t xml:space="preserve"> their n</w:t>
      </w:r>
      <w:r>
        <w:rPr>
          <w:i/>
        </w:rPr>
        <w:t xml:space="preserve">ames </w:t>
      </w:r>
      <w:r w:rsidR="003C135E">
        <w:rPr>
          <w:i/>
        </w:rPr>
        <w:t>above each</w:t>
      </w:r>
      <w:r>
        <w:rPr>
          <w:i/>
        </w:rPr>
        <w:t xml:space="preserve"> description.</w:t>
      </w:r>
      <w:r w:rsidR="003C135E">
        <w:rPr>
          <w:i/>
        </w:rPr>
        <w:t xml:space="preserve"> </w:t>
      </w:r>
      <w:bookmarkStart w:id="0" w:name="_GoBack"/>
      <w:bookmarkEnd w:id="0"/>
    </w:p>
    <w:p w:rsidR="00BC32BE" w:rsidRDefault="00BC32BE" w:rsidP="00BC32BE">
      <w:pPr>
        <w:spacing w:before="50" w:line="421" w:lineRule="exact"/>
        <w:ind w:left="840"/>
        <w:rPr>
          <w:rFonts w:ascii="Cambria"/>
          <w:b/>
          <w:sz w:val="36"/>
        </w:rPr>
      </w:pPr>
      <w:r>
        <w:rPr>
          <w:rFonts w:ascii="Cambria"/>
          <w:b/>
          <w:color w:val="933634"/>
          <w:sz w:val="36"/>
        </w:rPr>
        <w:t>Watergate Background</w:t>
      </w:r>
    </w:p>
    <w:p w:rsidR="00BC32BE" w:rsidRDefault="00BC32BE" w:rsidP="00BC32BE">
      <w:pPr>
        <w:spacing w:line="292" w:lineRule="exact"/>
        <w:ind w:left="840"/>
        <w:rPr>
          <w:b/>
          <w:sz w:val="24"/>
        </w:rPr>
      </w:pPr>
      <w:r>
        <w:rPr>
          <w:b/>
          <w:sz w:val="24"/>
        </w:rPr>
        <w:t>Worksheet</w:t>
      </w:r>
    </w:p>
    <w:p w:rsidR="00BC32BE" w:rsidRDefault="00BC32BE" w:rsidP="00BC32BE">
      <w:pPr>
        <w:pStyle w:val="BodyText"/>
        <w:spacing w:before="11"/>
        <w:rPr>
          <w:b/>
          <w:sz w:val="23"/>
        </w:rPr>
      </w:pPr>
    </w:p>
    <w:p w:rsidR="00BC32BE" w:rsidRDefault="00BC32BE" w:rsidP="00BC32BE">
      <w:pPr>
        <w:pStyle w:val="BodyText"/>
        <w:spacing w:before="1"/>
        <w:ind w:left="840"/>
      </w:pPr>
      <w:r>
        <w:t>Define the following terms from the reading:</w:t>
      </w:r>
    </w:p>
    <w:p w:rsidR="00BC32BE" w:rsidRDefault="00BC32BE" w:rsidP="00BC32BE">
      <w:pPr>
        <w:pStyle w:val="BodyText"/>
        <w:spacing w:before="11"/>
        <w:rPr>
          <w:sz w:val="23"/>
        </w:rPr>
      </w:pPr>
    </w:p>
    <w:p w:rsidR="00BC32BE" w:rsidRDefault="00BC32BE" w:rsidP="00BC32BE">
      <w:pPr>
        <w:pStyle w:val="ListParagraph"/>
        <w:widowControl w:val="0"/>
        <w:numPr>
          <w:ilvl w:val="0"/>
          <w:numId w:val="2"/>
        </w:numPr>
        <w:tabs>
          <w:tab w:val="left" w:pos="1561"/>
        </w:tabs>
        <w:spacing w:before="1" w:after="0" w:line="240" w:lineRule="auto"/>
        <w:contextualSpacing w:val="0"/>
        <w:jc w:val="left"/>
        <w:rPr>
          <w:sz w:val="24"/>
        </w:rPr>
      </w:pPr>
      <w:r>
        <w:rPr>
          <w:sz w:val="24"/>
        </w:rPr>
        <w:t>Impeachment</w:t>
      </w:r>
    </w:p>
    <w:p w:rsidR="00BC32BE" w:rsidRDefault="00BC32BE" w:rsidP="00BC32BE">
      <w:pPr>
        <w:pStyle w:val="BodyText"/>
        <w:ind w:left="1560"/>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ListParagraph"/>
        <w:widowControl w:val="0"/>
        <w:numPr>
          <w:ilvl w:val="0"/>
          <w:numId w:val="2"/>
        </w:numPr>
        <w:tabs>
          <w:tab w:val="left" w:pos="1561"/>
        </w:tabs>
        <w:spacing w:before="148" w:after="0" w:line="240" w:lineRule="auto"/>
        <w:contextualSpacing w:val="0"/>
        <w:jc w:val="left"/>
        <w:rPr>
          <w:sz w:val="24"/>
        </w:rPr>
      </w:pPr>
      <w:r>
        <w:rPr>
          <w:sz w:val="24"/>
        </w:rPr>
        <w:t>The</w:t>
      </w:r>
      <w:r>
        <w:rPr>
          <w:spacing w:val="-2"/>
          <w:sz w:val="24"/>
        </w:rPr>
        <w:t xml:space="preserve"> </w:t>
      </w:r>
      <w:r>
        <w:rPr>
          <w:sz w:val="24"/>
        </w:rPr>
        <w:t>“plumbers”</w:t>
      </w: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ListParagraph"/>
        <w:widowControl w:val="0"/>
        <w:numPr>
          <w:ilvl w:val="0"/>
          <w:numId w:val="2"/>
        </w:numPr>
        <w:tabs>
          <w:tab w:val="left" w:pos="1561"/>
        </w:tabs>
        <w:spacing w:before="150" w:after="0" w:line="240" w:lineRule="auto"/>
        <w:contextualSpacing w:val="0"/>
        <w:jc w:val="left"/>
        <w:rPr>
          <w:sz w:val="24"/>
        </w:rPr>
      </w:pPr>
      <w:r>
        <w:rPr>
          <w:sz w:val="24"/>
        </w:rPr>
        <w:t>CREEP</w:t>
      </w: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ListParagraph"/>
        <w:widowControl w:val="0"/>
        <w:numPr>
          <w:ilvl w:val="0"/>
          <w:numId w:val="2"/>
        </w:numPr>
        <w:tabs>
          <w:tab w:val="left" w:pos="1561"/>
        </w:tabs>
        <w:spacing w:before="150" w:after="0" w:line="240" w:lineRule="auto"/>
        <w:contextualSpacing w:val="0"/>
        <w:jc w:val="left"/>
        <w:rPr>
          <w:sz w:val="24"/>
        </w:rPr>
      </w:pPr>
      <w:r>
        <w:rPr>
          <w:sz w:val="24"/>
        </w:rPr>
        <w:t>Perjury</w:t>
      </w: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ListParagraph"/>
        <w:widowControl w:val="0"/>
        <w:numPr>
          <w:ilvl w:val="0"/>
          <w:numId w:val="2"/>
        </w:numPr>
        <w:tabs>
          <w:tab w:val="left" w:pos="1561"/>
        </w:tabs>
        <w:spacing w:before="150" w:after="0" w:line="240" w:lineRule="auto"/>
        <w:contextualSpacing w:val="0"/>
        <w:jc w:val="left"/>
        <w:rPr>
          <w:sz w:val="24"/>
        </w:rPr>
      </w:pPr>
      <w:r>
        <w:rPr>
          <w:sz w:val="24"/>
        </w:rPr>
        <w:t>Political</w:t>
      </w:r>
      <w:r>
        <w:rPr>
          <w:spacing w:val="-4"/>
          <w:sz w:val="24"/>
        </w:rPr>
        <w:t xml:space="preserve"> </w:t>
      </w:r>
      <w:r>
        <w:rPr>
          <w:sz w:val="24"/>
        </w:rPr>
        <w:t>espionage</w:t>
      </w:r>
    </w:p>
    <w:p w:rsidR="00BC32BE" w:rsidRDefault="00BC32BE" w:rsidP="00BC32BE">
      <w:pPr>
        <w:rPr>
          <w:sz w:val="24"/>
        </w:rPr>
        <w:sectPr w:rsidR="00BC32BE" w:rsidSect="00BC32BE">
          <w:pgSz w:w="12240" w:h="15840"/>
          <w:pgMar w:top="520" w:right="980" w:bottom="280" w:left="960" w:header="720" w:footer="720" w:gutter="0"/>
          <w:cols w:space="720"/>
        </w:sectPr>
      </w:pPr>
    </w:p>
    <w:p w:rsidR="00BC32BE" w:rsidRDefault="00BC32BE" w:rsidP="00BC32BE">
      <w:pPr>
        <w:pStyle w:val="ListParagraph"/>
        <w:widowControl w:val="0"/>
        <w:numPr>
          <w:ilvl w:val="0"/>
          <w:numId w:val="2"/>
        </w:numPr>
        <w:tabs>
          <w:tab w:val="left" w:pos="801"/>
        </w:tabs>
        <w:spacing w:before="37" w:after="0" w:line="240" w:lineRule="auto"/>
        <w:ind w:left="800"/>
        <w:contextualSpacing w:val="0"/>
        <w:jc w:val="left"/>
        <w:rPr>
          <w:sz w:val="24"/>
        </w:rPr>
      </w:pPr>
      <w:r>
        <w:rPr>
          <w:sz w:val="24"/>
        </w:rPr>
        <w:lastRenderedPageBreak/>
        <w:t>“Saturday Night</w:t>
      </w:r>
      <w:r>
        <w:rPr>
          <w:spacing w:val="-9"/>
          <w:sz w:val="24"/>
        </w:rPr>
        <w:t xml:space="preserve"> </w:t>
      </w:r>
      <w:r>
        <w:rPr>
          <w:sz w:val="24"/>
        </w:rPr>
        <w:t>Massacre”</w:t>
      </w: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ListParagraph"/>
        <w:widowControl w:val="0"/>
        <w:numPr>
          <w:ilvl w:val="0"/>
          <w:numId w:val="2"/>
        </w:numPr>
        <w:tabs>
          <w:tab w:val="left" w:pos="801"/>
        </w:tabs>
        <w:spacing w:before="150" w:after="0" w:line="240" w:lineRule="auto"/>
        <w:ind w:left="800"/>
        <w:contextualSpacing w:val="0"/>
        <w:jc w:val="left"/>
        <w:rPr>
          <w:sz w:val="24"/>
        </w:rPr>
      </w:pPr>
      <w:r>
        <w:rPr>
          <w:sz w:val="24"/>
        </w:rPr>
        <w:t>subpoena</w:t>
      </w: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ListParagraph"/>
        <w:widowControl w:val="0"/>
        <w:numPr>
          <w:ilvl w:val="0"/>
          <w:numId w:val="2"/>
        </w:numPr>
        <w:tabs>
          <w:tab w:val="left" w:pos="801"/>
        </w:tabs>
        <w:spacing w:before="148" w:after="0" w:line="240" w:lineRule="auto"/>
        <w:ind w:left="800"/>
        <w:contextualSpacing w:val="0"/>
        <w:jc w:val="left"/>
        <w:rPr>
          <w:sz w:val="24"/>
        </w:rPr>
      </w:pPr>
      <w:r>
        <w:rPr>
          <w:sz w:val="24"/>
        </w:rPr>
        <w:t>separation of</w:t>
      </w:r>
      <w:r>
        <w:rPr>
          <w:spacing w:val="-7"/>
          <w:sz w:val="24"/>
        </w:rPr>
        <w:t xml:space="preserve"> </w:t>
      </w:r>
      <w:r>
        <w:rPr>
          <w:sz w:val="24"/>
        </w:rPr>
        <w:t>powers</w:t>
      </w: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ListParagraph"/>
        <w:widowControl w:val="0"/>
        <w:numPr>
          <w:ilvl w:val="0"/>
          <w:numId w:val="2"/>
        </w:numPr>
        <w:tabs>
          <w:tab w:val="left" w:pos="801"/>
        </w:tabs>
        <w:spacing w:before="150" w:after="0" w:line="240" w:lineRule="auto"/>
        <w:ind w:left="800"/>
        <w:contextualSpacing w:val="0"/>
        <w:jc w:val="left"/>
        <w:rPr>
          <w:sz w:val="24"/>
        </w:rPr>
      </w:pPr>
      <w:r>
        <w:rPr>
          <w:sz w:val="24"/>
        </w:rPr>
        <w:t>judicial</w:t>
      </w:r>
      <w:r>
        <w:rPr>
          <w:spacing w:val="-4"/>
          <w:sz w:val="24"/>
        </w:rPr>
        <w:t xml:space="preserve"> </w:t>
      </w:r>
      <w:r>
        <w:rPr>
          <w:sz w:val="24"/>
        </w:rPr>
        <w:t>review</w:t>
      </w: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BodyText"/>
      </w:pPr>
    </w:p>
    <w:p w:rsidR="00BC32BE" w:rsidRDefault="00BC32BE" w:rsidP="00BC32BE">
      <w:pPr>
        <w:pStyle w:val="ListParagraph"/>
        <w:widowControl w:val="0"/>
        <w:numPr>
          <w:ilvl w:val="0"/>
          <w:numId w:val="2"/>
        </w:numPr>
        <w:tabs>
          <w:tab w:val="left" w:pos="801"/>
        </w:tabs>
        <w:spacing w:before="150" w:after="0" w:line="240" w:lineRule="auto"/>
        <w:ind w:left="800"/>
        <w:contextualSpacing w:val="0"/>
        <w:jc w:val="left"/>
        <w:rPr>
          <w:sz w:val="24"/>
        </w:rPr>
      </w:pPr>
      <w:r>
        <w:rPr>
          <w:sz w:val="24"/>
        </w:rPr>
        <w:t>indictment</w:t>
      </w:r>
    </w:p>
    <w:p w:rsidR="00B52229" w:rsidRDefault="00B52229" w:rsidP="00C22C34"/>
    <w:p w:rsidR="00BC32BE" w:rsidRDefault="00BC32BE" w:rsidP="00C22C34"/>
    <w:p w:rsidR="00BC32BE" w:rsidRDefault="00BC32BE" w:rsidP="00C22C34"/>
    <w:p w:rsidR="00BC32BE" w:rsidRDefault="00BC32BE" w:rsidP="00C22C34"/>
    <w:p w:rsidR="00BC32BE" w:rsidRDefault="00BC32BE" w:rsidP="00C22C34"/>
    <w:p w:rsidR="00BC32BE" w:rsidRDefault="00BC32BE" w:rsidP="00BC32BE">
      <w:pPr>
        <w:spacing w:before="50" w:line="421" w:lineRule="exact"/>
        <w:ind w:left="840"/>
        <w:rPr>
          <w:rFonts w:ascii="Cambria"/>
          <w:b/>
          <w:sz w:val="36"/>
        </w:rPr>
      </w:pPr>
      <w:r>
        <w:rPr>
          <w:rFonts w:ascii="Cambria"/>
          <w:b/>
          <w:color w:val="933634"/>
          <w:sz w:val="36"/>
        </w:rPr>
        <w:lastRenderedPageBreak/>
        <w:t xml:space="preserve">Watergate </w:t>
      </w:r>
      <w:r>
        <w:rPr>
          <w:rFonts w:ascii="Cambria"/>
          <w:b/>
          <w:color w:val="933634"/>
          <w:sz w:val="36"/>
        </w:rPr>
        <w:t>Cast of Characters</w:t>
      </w:r>
    </w:p>
    <w:p w:rsidR="00BC32BE" w:rsidRPr="00BC32BE" w:rsidRDefault="00BC32BE" w:rsidP="00C22C34"/>
    <w:p w:rsidR="00C22C34" w:rsidRDefault="00C22C34" w:rsidP="00C22C34">
      <w:pPr>
        <w:pStyle w:val="ListParagraph"/>
        <w:numPr>
          <w:ilvl w:val="0"/>
          <w:numId w:val="1"/>
        </w:numPr>
      </w:pPr>
      <w:r>
        <w:t>One of the original burglary planners, he served more prison time for his roles in the Watergate scandal than any other defendants.</w:t>
      </w:r>
      <w:r w:rsidR="00735261">
        <w:br/>
      </w:r>
    </w:p>
    <w:p w:rsidR="00C22C34" w:rsidRDefault="00C22C34" w:rsidP="00C22C34">
      <w:pPr>
        <w:pStyle w:val="ListParagraph"/>
        <w:numPr>
          <w:ilvl w:val="0"/>
          <w:numId w:val="1"/>
        </w:numPr>
      </w:pPr>
      <w:r>
        <w:t>Some of the money he raised for Nixon’s re-election was used in the Watergate cover-up.  He was fined for receipt of illegal corporate contributions to the Committee to Re-Elect the President.</w:t>
      </w:r>
      <w:r w:rsidR="00735261">
        <w:br/>
      </w:r>
    </w:p>
    <w:p w:rsidR="00C22C34" w:rsidRDefault="00C22C34" w:rsidP="00C22C34">
      <w:pPr>
        <w:pStyle w:val="ListParagraph"/>
        <w:numPr>
          <w:ilvl w:val="0"/>
          <w:numId w:val="1"/>
        </w:numPr>
      </w:pPr>
      <w:r>
        <w:t>A $25,000 check from this campaign manager was deposited in the bank account o</w:t>
      </w:r>
      <w:r w:rsidR="00735261">
        <w:t>f one of the Watergate burglars</w:t>
      </w:r>
      <w:r w:rsidR="00735261">
        <w:br/>
      </w:r>
    </w:p>
    <w:p w:rsidR="00C22C34" w:rsidRDefault="00C22C34" w:rsidP="00C22C34">
      <w:pPr>
        <w:pStyle w:val="ListParagraph"/>
        <w:numPr>
          <w:ilvl w:val="0"/>
          <w:numId w:val="1"/>
        </w:numPr>
      </w:pPr>
      <w:r>
        <w:t>This White House employee’s phone number was found in the address book of a Watergate burglar, connecting the burglars to the White House.</w:t>
      </w:r>
      <w:r w:rsidR="00735261">
        <w:br/>
      </w:r>
    </w:p>
    <w:p w:rsidR="00C22C34" w:rsidRDefault="00C22C34" w:rsidP="00C22C34">
      <w:pPr>
        <w:pStyle w:val="ListParagraph"/>
        <w:numPr>
          <w:ilvl w:val="0"/>
          <w:numId w:val="1"/>
        </w:numPr>
      </w:pPr>
      <w:r>
        <w:t>He did prison time for his role in Watergate, later became a Christian and founded Prison Fellowship Ministries.</w:t>
      </w:r>
      <w:r w:rsidR="00735261">
        <w:br/>
      </w:r>
    </w:p>
    <w:p w:rsidR="00C22C34" w:rsidRDefault="00862EA7" w:rsidP="00C22C34">
      <w:pPr>
        <w:pStyle w:val="ListParagraph"/>
        <w:numPr>
          <w:ilvl w:val="0"/>
          <w:numId w:val="1"/>
        </w:numPr>
      </w:pPr>
      <w:r>
        <w:t>This assistant to President Nixon was involved in planning both the Ellsberg and Watergate break-ins.  He resigned his position in April 1973 and served 18 months in prison.</w:t>
      </w:r>
      <w:r w:rsidR="00735261">
        <w:br/>
      </w:r>
    </w:p>
    <w:p w:rsidR="00862EA7" w:rsidRDefault="00862EA7" w:rsidP="00C22C34">
      <w:pPr>
        <w:pStyle w:val="ListParagraph"/>
        <w:numPr>
          <w:ilvl w:val="0"/>
          <w:numId w:val="1"/>
        </w:numPr>
      </w:pPr>
      <w:r>
        <w:t>Involved in political “dirty tricks,” he pleaded guilty to three misdemeanor counts and served four months in prison.</w:t>
      </w:r>
      <w:r w:rsidR="00735261">
        <w:br/>
      </w:r>
    </w:p>
    <w:p w:rsidR="00862EA7" w:rsidRDefault="00862EA7" w:rsidP="00C22C34">
      <w:pPr>
        <w:pStyle w:val="ListParagraph"/>
        <w:numPr>
          <w:ilvl w:val="0"/>
          <w:numId w:val="1"/>
        </w:numPr>
      </w:pPr>
      <w:r>
        <w:t>Former Attorney General, he approved of the Watergate break-in and using hush money to keep the “plumbers” quiet.</w:t>
      </w:r>
      <w:r w:rsidR="00735261">
        <w:br/>
      </w:r>
    </w:p>
    <w:p w:rsidR="00862EA7" w:rsidRDefault="00862EA7" w:rsidP="00C22C34">
      <w:pPr>
        <w:pStyle w:val="ListParagraph"/>
        <w:numPr>
          <w:ilvl w:val="0"/>
          <w:numId w:val="1"/>
        </w:numPr>
      </w:pPr>
      <w:r>
        <w:t>In 1973 this senator’s Watergate Committee hearings kept millions of Americans watching as events unfolded.</w:t>
      </w:r>
      <w:r w:rsidR="00735261">
        <w:br/>
      </w:r>
    </w:p>
    <w:p w:rsidR="00862EA7" w:rsidRDefault="00862EA7" w:rsidP="00C22C34">
      <w:pPr>
        <w:pStyle w:val="ListParagraph"/>
        <w:numPr>
          <w:ilvl w:val="0"/>
          <w:numId w:val="1"/>
        </w:numPr>
      </w:pPr>
      <w:r>
        <w:t>While being questioned by the Senate Watergate Committee, his disclosure of a tape-recording device in the Oval Office led to Nixon’s resignation.</w:t>
      </w:r>
      <w:r w:rsidR="00735261">
        <w:br/>
      </w:r>
    </w:p>
    <w:p w:rsidR="00862EA7" w:rsidRDefault="00862EA7" w:rsidP="00C22C34">
      <w:pPr>
        <w:pStyle w:val="ListParagraph"/>
        <w:numPr>
          <w:ilvl w:val="0"/>
          <w:numId w:val="1"/>
        </w:numPr>
      </w:pPr>
      <w:r>
        <w:t>Nixon’s personal secretary, she claimed to have accidentally erased 18½ minutes from a tape of a Nixon phone conversation.</w:t>
      </w:r>
      <w:r w:rsidR="00735261">
        <w:br/>
      </w:r>
    </w:p>
    <w:p w:rsidR="00862EA7" w:rsidRDefault="007E6D07" w:rsidP="00C22C34">
      <w:pPr>
        <w:pStyle w:val="ListParagraph"/>
        <w:numPr>
          <w:ilvl w:val="0"/>
          <w:numId w:val="1"/>
        </w:numPr>
      </w:pPr>
      <w:r>
        <w:t>White House chief of staff, he resigned in April 1973 when it became known he had given hush money to the plumbers.  He later was convicted and served time in prison.</w:t>
      </w:r>
      <w:r w:rsidR="00735261">
        <w:br/>
      </w:r>
      <w:r w:rsidR="00B52229">
        <w:br/>
      </w:r>
      <w:r w:rsidR="00B52229">
        <w:lastRenderedPageBreak/>
        <w:br/>
      </w:r>
    </w:p>
    <w:p w:rsidR="007E6D07" w:rsidRDefault="007E6D07" w:rsidP="00C22C34">
      <w:pPr>
        <w:pStyle w:val="ListParagraph"/>
        <w:numPr>
          <w:ilvl w:val="0"/>
          <w:numId w:val="1"/>
        </w:numPr>
      </w:pPr>
      <w:r>
        <w:t>Nixon fired this Watergate Special Prosecutor in the “Saturday Night Massacre,” but only after both Elliot Richardson and William Ruckelshaus refused.</w:t>
      </w:r>
      <w:r w:rsidR="00735261">
        <w:br/>
      </w:r>
    </w:p>
    <w:p w:rsidR="007E6D07" w:rsidRDefault="007E6D07" w:rsidP="00C22C34">
      <w:pPr>
        <w:pStyle w:val="ListParagraph"/>
        <w:numPr>
          <w:ilvl w:val="0"/>
          <w:numId w:val="1"/>
        </w:numPr>
      </w:pPr>
      <w:r>
        <w:t>On November 1, 1973 he became the Watergate special prosecutor after the “Saturday Night Massacre.”</w:t>
      </w:r>
      <w:r w:rsidR="002036A6">
        <w:t xml:space="preserve">  He forced Nixon to turn over all the Oval Office tapes.</w:t>
      </w:r>
      <w:r w:rsidR="00B52229">
        <w:br/>
      </w:r>
    </w:p>
    <w:p w:rsidR="007E6D07" w:rsidRDefault="007E6D07" w:rsidP="00C22C34">
      <w:pPr>
        <w:pStyle w:val="ListParagraph"/>
        <w:numPr>
          <w:ilvl w:val="0"/>
          <w:numId w:val="1"/>
        </w:numPr>
      </w:pPr>
      <w:r>
        <w:t>As chairman of the House Judiciary Committee, he was in charge of impeachment proceedings against the president.</w:t>
      </w:r>
      <w:r w:rsidR="00735261">
        <w:br/>
      </w:r>
    </w:p>
    <w:p w:rsidR="007E6D07" w:rsidRDefault="007E6D07" w:rsidP="00C22C34">
      <w:pPr>
        <w:pStyle w:val="ListParagraph"/>
        <w:numPr>
          <w:ilvl w:val="0"/>
          <w:numId w:val="1"/>
        </w:numPr>
      </w:pPr>
      <w:r>
        <w:t>He warned that Watergate was a “cancer growing on the presidency.” This former White House counsel served time in prison.</w:t>
      </w:r>
      <w:r w:rsidR="00735261">
        <w:br/>
      </w:r>
    </w:p>
    <w:p w:rsidR="007E6D07" w:rsidRDefault="007E6D07" w:rsidP="00C22C34">
      <w:pPr>
        <w:pStyle w:val="ListParagraph"/>
        <w:numPr>
          <w:ilvl w:val="0"/>
          <w:numId w:val="1"/>
        </w:numPr>
      </w:pPr>
      <w:r>
        <w:t>He was the White House press secretary and at first called Watergate a “third-rate burglary.”</w:t>
      </w:r>
      <w:r w:rsidR="00735261">
        <w:br/>
      </w:r>
    </w:p>
    <w:p w:rsidR="007E6D07" w:rsidRDefault="007E6D07" w:rsidP="00C22C34">
      <w:pPr>
        <w:pStyle w:val="ListParagraph"/>
        <w:numPr>
          <w:ilvl w:val="0"/>
          <w:numId w:val="1"/>
        </w:numPr>
      </w:pPr>
      <w:r>
        <w:t xml:space="preserve">The two reporters for the Washington Post whose investigative reporting </w:t>
      </w:r>
      <w:r w:rsidR="002036A6">
        <w:t>revealed much of the story behind Watergate.</w:t>
      </w:r>
      <w:r w:rsidR="00735261">
        <w:br/>
      </w:r>
    </w:p>
    <w:p w:rsidR="002036A6" w:rsidRDefault="002036A6" w:rsidP="00C22C34">
      <w:pPr>
        <w:pStyle w:val="ListParagraph"/>
        <w:numPr>
          <w:ilvl w:val="0"/>
          <w:numId w:val="1"/>
        </w:numPr>
      </w:pPr>
      <w:r>
        <w:t>He was the judge in the trial of the Watergate burglars.</w:t>
      </w:r>
      <w:r w:rsidR="00735261">
        <w:br/>
      </w:r>
    </w:p>
    <w:p w:rsidR="002036A6" w:rsidRDefault="00DF0871" w:rsidP="00C22C34">
      <w:pPr>
        <w:pStyle w:val="ListParagraph"/>
        <w:numPr>
          <w:ilvl w:val="0"/>
          <w:numId w:val="1"/>
        </w:numPr>
      </w:pPr>
      <w:r>
        <w:t>The confidential source who helped the Washington Post reporters with tips and clues.</w:t>
      </w:r>
      <w:r w:rsidR="00735261">
        <w:br/>
      </w:r>
    </w:p>
    <w:p w:rsidR="00DF0871" w:rsidRDefault="00DF0871" w:rsidP="00C22C34">
      <w:pPr>
        <w:pStyle w:val="ListParagraph"/>
        <w:numPr>
          <w:ilvl w:val="0"/>
          <w:numId w:val="1"/>
        </w:numPr>
      </w:pPr>
      <w:r>
        <w:t>The Watergate scandal cost him his job, though he was pardoned by President Ford.</w:t>
      </w:r>
    </w:p>
    <w:sectPr w:rsidR="00DF08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261" w:rsidRDefault="00735261" w:rsidP="00735261">
      <w:pPr>
        <w:spacing w:after="0" w:line="240" w:lineRule="auto"/>
      </w:pPr>
      <w:r>
        <w:separator/>
      </w:r>
    </w:p>
  </w:endnote>
  <w:endnote w:type="continuationSeparator" w:id="0">
    <w:p w:rsidR="00735261" w:rsidRDefault="00735261" w:rsidP="0073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261" w:rsidRDefault="00735261" w:rsidP="00735261">
      <w:pPr>
        <w:spacing w:after="0" w:line="240" w:lineRule="auto"/>
      </w:pPr>
      <w:r>
        <w:separator/>
      </w:r>
    </w:p>
  </w:footnote>
  <w:footnote w:type="continuationSeparator" w:id="0">
    <w:p w:rsidR="00735261" w:rsidRDefault="00735261" w:rsidP="00735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61" w:rsidRDefault="00735261" w:rsidP="00BC32BE">
    <w:pPr>
      <w:pStyle w:val="Header"/>
      <w:tabs>
        <w:tab w:val="clear" w:pos="4680"/>
        <w:tab w:val="center" w:pos="4770"/>
      </w:tabs>
    </w:pPr>
    <w:r>
      <w:rPr>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282023</wp:posOffset>
              </wp:positionV>
              <wp:extent cx="6098651"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0986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BA405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22.2pt" to="480.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QzatgEAAMMDAAAOAAAAZHJzL2Uyb0RvYy54bWysU8Fu2zAMvQ/YPwi6L3YKLOiMOD2k6C7D&#10;FqzbB6gyFQuQRIHSEufvRymJO6wDhg290KLER/I90uu7yTtxAEoWQy+Xi1YKCBoHG/a9/P7t4d2t&#10;FCmrMCiHAXp5giTvNm/frI+xgxsc0Q1AgpOE1B1jL8ecY9c0SY/gVVpghMCPBsmrzC7tm4HUkbN7&#10;19y07ao5Ig2RUENKfHt/fpSbmt8Y0PmLMQmycL3k3nK1VO1Tsc1mrbo9qThafWlD/UcXXtnARedU&#10;9yor8YPsi1TeasKEJi80+gaNsRoqB2azbH9j8ziqCJULi5PiLFN6vbT682FHwg48OymC8jyix0zK&#10;7scsthgCC4gklkWnY0wdh2/Dji5eijsqpCdDvnyZjpiqtqdZW5iy0Hy5aj/crt5zEX19a56BkVL+&#10;COhFOfTS2VBoq04dPqXMxTj0GsJOaeRcup7yyUEJduErGKbCxZYVXZcIto7EQfH4ldYQcqXC+Wp0&#10;gRnr3Axs/w68xBco1AX7F/CMqJUx5BnsbUD6U/U8XVs25/irAmfeRYInHE51KFUa3pSq2GWryyr+&#10;6lf487+3+QkAAP//AwBQSwMEFAAGAAgAAAAhAEz+kXXcAAAABwEAAA8AAABkcnMvZG93bnJldi54&#10;bWxMjs1Kw0AUhfeC7zBcwY3YSUsa2phJUaF0oUVs+gDTzDUJZu6EzCRNfXqvuNDl+eGcL9tMthUj&#10;9r5xpGA+i0Aglc40VCk4Ftv7FQgfNBndOkIFF/Swya+vMp0ad6Z3HA+hEjxCPtUK6hC6VEpf1mi1&#10;n7kOibMP11sdWPaVNL0+87ht5SKKEml1Q/xQ6w6fayw/D4NVsNs+4cvyMlSxWe6Ku7F43X+9rZS6&#10;vZkeH0AEnMJfGX7wGR1yZjq5gYwXLesFFxXEcQyC43UyT0Ccfg2ZZ/I/f/4NAAD//wMAUEsBAi0A&#10;FAAGAAgAAAAhALaDOJL+AAAA4QEAABMAAAAAAAAAAAAAAAAAAAAAAFtDb250ZW50X1R5cGVzXS54&#10;bWxQSwECLQAUAAYACAAAACEAOP0h/9YAAACUAQAACwAAAAAAAAAAAAAAAAAvAQAAX3JlbHMvLnJl&#10;bHNQSwECLQAUAAYACAAAACEAjfUM2rYBAADDAwAADgAAAAAAAAAAAAAAAAAuAgAAZHJzL2Uyb0Rv&#10;Yy54bWxQSwECLQAUAAYACAAAACEATP6RddwAAAAHAQAADwAAAAAAAAAAAAAAAAAQBAAAZHJzL2Rv&#10;d25yZXYueG1sUEsFBgAAAAAEAAQA8wAAABkFAAAAAA==&#10;" strokecolor="#4579b8 [3044]"/>
          </w:pict>
        </mc:Fallback>
      </mc:AlternateContent>
    </w:r>
    <w:r>
      <w:t>WATERGATE</w:t>
    </w:r>
    <w:r w:rsidR="00BC32BE">
      <w:t xml:space="preserve"> BACKGROUND &amp; CAST OF CHARACTERS</w:t>
    </w:r>
    <w:r w:rsidR="00BC32BE">
      <w:tab/>
    </w:r>
    <w:r w:rsidR="00BC32B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60D6"/>
    <w:multiLevelType w:val="hybridMultilevel"/>
    <w:tmpl w:val="5F7CA120"/>
    <w:lvl w:ilvl="0" w:tplc="DFDA44B4">
      <w:start w:val="1"/>
      <w:numFmt w:val="decimal"/>
      <w:lvlText w:val="%1."/>
      <w:lvlJc w:val="left"/>
      <w:pPr>
        <w:ind w:left="1560" w:hanging="360"/>
        <w:jc w:val="right"/>
      </w:pPr>
      <w:rPr>
        <w:rFonts w:ascii="Calibri" w:eastAsia="Calibri" w:hAnsi="Calibri" w:cs="Calibri" w:hint="default"/>
        <w:spacing w:val="-2"/>
        <w:w w:val="100"/>
        <w:sz w:val="24"/>
        <w:szCs w:val="24"/>
      </w:rPr>
    </w:lvl>
    <w:lvl w:ilvl="1" w:tplc="13167372">
      <w:numFmt w:val="bullet"/>
      <w:lvlText w:val="•"/>
      <w:lvlJc w:val="left"/>
      <w:pPr>
        <w:ind w:left="2434" w:hanging="360"/>
      </w:pPr>
      <w:rPr>
        <w:rFonts w:hint="default"/>
      </w:rPr>
    </w:lvl>
    <w:lvl w:ilvl="2" w:tplc="682A8BE4">
      <w:numFmt w:val="bullet"/>
      <w:lvlText w:val="•"/>
      <w:lvlJc w:val="left"/>
      <w:pPr>
        <w:ind w:left="3308" w:hanging="360"/>
      </w:pPr>
      <w:rPr>
        <w:rFonts w:hint="default"/>
      </w:rPr>
    </w:lvl>
    <w:lvl w:ilvl="3" w:tplc="4216B212">
      <w:numFmt w:val="bullet"/>
      <w:lvlText w:val="•"/>
      <w:lvlJc w:val="left"/>
      <w:pPr>
        <w:ind w:left="4182" w:hanging="360"/>
      </w:pPr>
      <w:rPr>
        <w:rFonts w:hint="default"/>
      </w:rPr>
    </w:lvl>
    <w:lvl w:ilvl="4" w:tplc="DED8B6FE">
      <w:numFmt w:val="bullet"/>
      <w:lvlText w:val="•"/>
      <w:lvlJc w:val="left"/>
      <w:pPr>
        <w:ind w:left="5056" w:hanging="360"/>
      </w:pPr>
      <w:rPr>
        <w:rFonts w:hint="default"/>
      </w:rPr>
    </w:lvl>
    <w:lvl w:ilvl="5" w:tplc="C0DA242E">
      <w:numFmt w:val="bullet"/>
      <w:lvlText w:val="•"/>
      <w:lvlJc w:val="left"/>
      <w:pPr>
        <w:ind w:left="5930" w:hanging="360"/>
      </w:pPr>
      <w:rPr>
        <w:rFonts w:hint="default"/>
      </w:rPr>
    </w:lvl>
    <w:lvl w:ilvl="6" w:tplc="59EC427A">
      <w:numFmt w:val="bullet"/>
      <w:lvlText w:val="•"/>
      <w:lvlJc w:val="left"/>
      <w:pPr>
        <w:ind w:left="6804" w:hanging="360"/>
      </w:pPr>
      <w:rPr>
        <w:rFonts w:hint="default"/>
      </w:rPr>
    </w:lvl>
    <w:lvl w:ilvl="7" w:tplc="B61CD546">
      <w:numFmt w:val="bullet"/>
      <w:lvlText w:val="•"/>
      <w:lvlJc w:val="left"/>
      <w:pPr>
        <w:ind w:left="7678" w:hanging="360"/>
      </w:pPr>
      <w:rPr>
        <w:rFonts w:hint="default"/>
      </w:rPr>
    </w:lvl>
    <w:lvl w:ilvl="8" w:tplc="7E248F02">
      <w:numFmt w:val="bullet"/>
      <w:lvlText w:val="•"/>
      <w:lvlJc w:val="left"/>
      <w:pPr>
        <w:ind w:left="8552" w:hanging="360"/>
      </w:pPr>
      <w:rPr>
        <w:rFonts w:hint="default"/>
      </w:rPr>
    </w:lvl>
  </w:abstractNum>
  <w:abstractNum w:abstractNumId="1" w15:restartNumberingAfterBreak="0">
    <w:nsid w:val="54F8015F"/>
    <w:multiLevelType w:val="hybridMultilevel"/>
    <w:tmpl w:val="7B4A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34"/>
    <w:rsid w:val="00042D04"/>
    <w:rsid w:val="001C7CF5"/>
    <w:rsid w:val="002036A6"/>
    <w:rsid w:val="003C135E"/>
    <w:rsid w:val="00735261"/>
    <w:rsid w:val="007E6D07"/>
    <w:rsid w:val="0083281D"/>
    <w:rsid w:val="00862EA7"/>
    <w:rsid w:val="00B52229"/>
    <w:rsid w:val="00BC32BE"/>
    <w:rsid w:val="00C22C34"/>
    <w:rsid w:val="00DF0871"/>
    <w:rsid w:val="00E7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D92CA97-5374-46B5-89B5-D9F1F6E0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22C34"/>
    <w:pPr>
      <w:ind w:left="720"/>
      <w:contextualSpacing/>
    </w:pPr>
  </w:style>
  <w:style w:type="paragraph" w:styleId="Header">
    <w:name w:val="header"/>
    <w:basedOn w:val="Normal"/>
    <w:link w:val="HeaderChar"/>
    <w:uiPriority w:val="99"/>
    <w:unhideWhenUsed/>
    <w:rsid w:val="00735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261"/>
  </w:style>
  <w:style w:type="paragraph" w:styleId="Footer">
    <w:name w:val="footer"/>
    <w:basedOn w:val="Normal"/>
    <w:link w:val="FooterChar"/>
    <w:uiPriority w:val="99"/>
    <w:unhideWhenUsed/>
    <w:rsid w:val="00735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261"/>
  </w:style>
  <w:style w:type="paragraph" w:styleId="BodyText">
    <w:name w:val="Body Text"/>
    <w:basedOn w:val="Normal"/>
    <w:link w:val="BodyTextChar"/>
    <w:uiPriority w:val="1"/>
    <w:qFormat/>
    <w:rsid w:val="00BC32BE"/>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BC32BE"/>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63227-6FCA-4D51-AF27-BE9E19E09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Walters</dc:creator>
  <cp:lastModifiedBy>James Walters</cp:lastModifiedBy>
  <cp:revision>2</cp:revision>
  <dcterms:created xsi:type="dcterms:W3CDTF">2016-10-06T17:28:00Z</dcterms:created>
  <dcterms:modified xsi:type="dcterms:W3CDTF">2016-10-06T17:28:00Z</dcterms:modified>
</cp:coreProperties>
</file>